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Colombia state-capacity data pack</w:t>
      </w:r>
    </w:p>
    <w:p>
      <w:pPr>
        <w:spacing w:after="120"/>
      </w:pPr>
      <w:r>
        <w:rPr>
          <w:i/>
        </w:rPr>
        <w:t>Data guide for the Chapter 1 Evidence Spotlight “State capacity in Colombia: an old map read next door” and Data problem 27 of Public Economics for Developing Countries.</w:t>
      </w:r>
    </w:p>
    <w:p>
      <w:pPr>
        <w:pStyle w:val="Heading1"/>
      </w:pPr>
      <w:r>
        <w:t>What this is</w:t>
      </w:r>
    </w:p>
    <w:p>
      <w:pPr>
        <w:spacing w:after="120"/>
      </w:pPr>
      <w:r>
        <w:rPr>
          <w:i w:val="0"/>
        </w:rPr>
        <w:t>Two plain CSV files, values unchanged, re-exported from the replication file of Acemoglu, García-Jimeno and Robinson, “State Capacity and Economic Development: A Network Approach,” American Economic Review 105(8), 2015. Column names follow the study’s data dictionary. Stata, R, Python and MATLAB all read these files. Cite the article, not this pack. The authors’ own package, with their code and data dictionary, is at sherafghanasad.com/go/ch1-agjr.</w:t>
      </w:r>
    </w:p>
    <w:p>
      <w:pPr>
        <w:pStyle w:val="Heading1"/>
      </w:pPr>
      <w:r>
        <w:t>The files</w:t>
      </w:r>
    </w:p>
    <w:tbl>
      <w:tblPr>
        <w:tblStyle w:val="TableGrid"/>
        <w:tblW w:type="auto" w:w="0"/>
        <w:tblLayout w:type="fixed"/>
        <w:tblLook w:firstColumn="1" w:firstRow="1" w:lastColumn="0" w:lastRow="0" w:noHBand="0" w:noVBand="1" w:val="04A0"/>
      </w:tblPr>
      <w:tblGrid>
        <w:gridCol w:w="3249"/>
        <w:gridCol w:w="3249"/>
        <w:gridCol w:w="3249"/>
      </w:tblGrid>
      <w:tr>
        <w:tc>
          <w:tcPr>
            <w:tcW w:type="dxa" w:w="2381"/>
            <w:shd w:val="clear" w:color="auto" w:fill="EAF3F4"/>
          </w:tcPr>
          <w:p>
            <w:r/>
            <w:r>
              <w:rPr>
                <w:b/>
                <w:sz w:val="19"/>
              </w:rPr>
              <w:t>File</w:t>
            </w:r>
          </w:p>
        </w:tc>
        <w:tc>
          <w:tcPr>
            <w:tcW w:type="dxa" w:w="907"/>
            <w:shd w:val="clear" w:color="auto" w:fill="EAF3F4"/>
          </w:tcPr>
          <w:p>
            <w:r/>
            <w:r>
              <w:rPr>
                <w:b/>
                <w:sz w:val="19"/>
              </w:rPr>
              <w:t>Rows</w:t>
            </w:r>
          </w:p>
        </w:tc>
        <w:tc>
          <w:tcPr>
            <w:tcW w:type="dxa" w:w="5953"/>
            <w:shd w:val="clear" w:color="auto" w:fill="EAF3F4"/>
          </w:tcPr>
          <w:p>
            <w:r/>
            <w:r>
              <w:rPr>
                <w:b/>
                <w:sz w:val="19"/>
              </w:rPr>
              <w:t>One row is</w:t>
            </w:r>
          </w:p>
        </w:tc>
      </w:tr>
      <w:tr>
        <w:tc>
          <w:tcPr>
            <w:tcW w:type="dxa" w:w="2381"/>
          </w:tcPr>
          <w:p>
            <w:r/>
            <w:r>
              <w:rPr>
                <w:rFonts w:ascii="Consolas" w:hAnsi="Consolas" w:eastAsia="Consolas"/>
                <w:sz w:val="19"/>
              </w:rPr>
              <w:t>agjr-colombia.csv</w:t>
            </w:r>
          </w:p>
        </w:tc>
        <w:tc>
          <w:tcPr>
            <w:tcW w:type="dxa" w:w="907"/>
          </w:tcPr>
          <w:p>
            <w:r/>
            <w:r>
              <w:rPr>
                <w:sz w:val="19"/>
              </w:rPr>
              <w:t>1,019</w:t>
            </w:r>
          </w:p>
        </w:tc>
        <w:tc>
          <w:tcPr>
            <w:tcW w:type="dxa" w:w="5953"/>
          </w:tcPr>
          <w:p>
            <w:r/>
            <w:r>
              <w:rPr>
                <w:sz w:val="19"/>
              </w:rPr>
              <w:t>a municipality, with the study’s variables under their own names</w:t>
            </w:r>
          </w:p>
        </w:tc>
      </w:tr>
      <w:tr>
        <w:tc>
          <w:tcPr>
            <w:tcW w:type="dxa" w:w="2381"/>
          </w:tcPr>
          <w:p>
            <w:r/>
            <w:r>
              <w:rPr>
                <w:rFonts w:ascii="Consolas" w:hAnsi="Consolas" w:eastAsia="Consolas"/>
                <w:sz w:val="19"/>
              </w:rPr>
              <w:t>agjr-neighbors.csv</w:t>
            </w:r>
          </w:p>
        </w:tc>
        <w:tc>
          <w:tcPr>
            <w:tcW w:type="dxa" w:w="907"/>
          </w:tcPr>
          <w:p>
            <w:r/>
            <w:r>
              <w:rPr>
                <w:sz w:val="19"/>
              </w:rPr>
              <w:t>5,592</w:t>
            </w:r>
          </w:p>
        </w:tc>
        <w:tc>
          <w:tcPr>
            <w:tcW w:type="dxa" w:w="5953"/>
          </w:tcPr>
          <w:p>
            <w:r/>
            <w:r>
              <w:rPr>
                <w:sz w:val="19"/>
              </w:rPr>
              <w:t>an ordered pair: a municipality and one of its neighbors, from the study’s adjacency matrix. Every pair appears twice (once in each direction), so merging on the neighbor code and averaging by municipality gives each municipality’s average over its neighbors.</w:t>
            </w:r>
          </w:p>
        </w:tc>
      </w:tr>
    </w:tbl>
    <w:p>
      <w:pPr>
        <w:spacing w:after="40"/>
      </w:pPr>
    </w:p>
    <w:p>
      <w:pPr>
        <w:pStyle w:val="Heading1"/>
      </w:pPr>
      <w:r>
        <w:t>Columns of agjr-colombia.csv</w:t>
      </w:r>
    </w:p>
    <w:p>
      <w:pPr>
        <w:spacing w:after="120"/>
      </w:pPr>
      <w:r>
        <w:rPr>
          <w:i w:val="0"/>
          <w:sz w:val="19"/>
        </w:rPr>
        <w:t>“Study source” gives the matrix and column of the original MATLAB file. Blank cells mean the study has no value.</w:t>
      </w:r>
    </w:p>
    <w:p>
      <w:pPr>
        <w:pStyle w:val="Heading2"/>
      </w:pPr>
      <w:r>
        <w:t>Identifiers</w:t>
      </w:r>
    </w:p>
    <w:tbl>
      <w:tblPr>
        <w:tblStyle w:val="TableGrid"/>
        <w:tblW w:type="auto" w:w="0"/>
        <w:tblLayout w:type="fixed"/>
        <w:tblLook w:firstColumn="1" w:firstRow="1" w:lastColumn="0" w:lastRow="0" w:noHBand="0" w:noVBand="1" w:val="04A0"/>
      </w:tblPr>
      <w:tblGrid>
        <w:gridCol w:w="3249"/>
        <w:gridCol w:w="3249"/>
        <w:gridCol w:w="3249"/>
      </w:tblGrid>
      <w:tr>
        <w:tc>
          <w:tcPr>
            <w:tcW w:type="dxa" w:w="2948"/>
            <w:shd w:val="clear" w:color="auto" w:fill="EAF3F4"/>
          </w:tcPr>
          <w:p>
            <w:r/>
            <w:r>
              <w:rPr>
                <w:b/>
                <w:sz w:val="19"/>
              </w:rPr>
              <w:t>Column</w:t>
            </w:r>
          </w:p>
        </w:tc>
        <w:tc>
          <w:tcPr>
            <w:tcW w:type="dxa" w:w="1587"/>
            <w:shd w:val="clear" w:color="auto" w:fill="EAF3F4"/>
          </w:tcPr>
          <w:p>
            <w:r/>
            <w:r>
              <w:rPr>
                <w:b/>
                <w:sz w:val="19"/>
              </w:rPr>
              <w:t>Study source</w:t>
            </w:r>
          </w:p>
        </w:tc>
        <w:tc>
          <w:tcPr>
            <w:tcW w:type="dxa" w:w="4706"/>
            <w:shd w:val="clear" w:color="auto" w:fill="EAF3F4"/>
          </w:tcPr>
          <w:p>
            <w:r/>
            <w:r>
              <w:rPr>
                <w:b/>
                <w:sz w:val="19"/>
              </w:rPr>
              <w:t>Meaning</w:t>
            </w:r>
          </w:p>
        </w:tc>
      </w:tr>
      <w:tr>
        <w:tc>
          <w:tcPr>
            <w:tcW w:type="dxa" w:w="2948"/>
          </w:tcPr>
          <w:p>
            <w:r/>
            <w:r>
              <w:rPr>
                <w:rFonts w:ascii="Consolas" w:hAnsi="Consolas" w:eastAsia="Consolas"/>
                <w:sz w:val="19"/>
              </w:rPr>
              <w:t>dane_code</w:t>
            </w:r>
          </w:p>
        </w:tc>
        <w:tc>
          <w:tcPr>
            <w:tcW w:type="dxa" w:w="1587"/>
          </w:tcPr>
          <w:p>
            <w:r/>
            <w:r>
              <w:rPr>
                <w:sz w:val="19"/>
              </w:rPr>
              <w:t>DaneCodes</w:t>
            </w:r>
          </w:p>
        </w:tc>
        <w:tc>
          <w:tcPr>
            <w:tcW w:type="dxa" w:w="4706"/>
          </w:tcPr>
          <w:p>
            <w:r/>
            <w:r>
              <w:rPr>
                <w:sz w:val="19"/>
              </w:rPr>
              <w:t>municipality identifier</w:t>
            </w:r>
          </w:p>
        </w:tc>
      </w:tr>
      <w:tr>
        <w:tc>
          <w:tcPr>
            <w:tcW w:type="dxa" w:w="2948"/>
          </w:tcPr>
          <w:p>
            <w:r/>
            <w:r>
              <w:rPr>
                <w:rFonts w:ascii="Consolas" w:hAnsi="Consolas" w:eastAsia="Consolas"/>
                <w:sz w:val="19"/>
              </w:rPr>
              <w:t>department</w:t>
            </w:r>
          </w:p>
        </w:tc>
        <w:tc>
          <w:tcPr>
            <w:tcW w:type="dxa" w:w="1587"/>
          </w:tcPr>
          <w:p>
            <w:r/>
            <w:r>
              <w:rPr>
                <w:sz w:val="19"/>
              </w:rPr>
              <w:t>DD</w:t>
            </w:r>
          </w:p>
        </w:tc>
        <w:tc>
          <w:tcPr>
            <w:tcW w:type="dxa" w:w="4706"/>
          </w:tcPr>
          <w:p>
            <w:r/>
            <w:r>
              <w:rPr>
                <w:sz w:val="19"/>
              </w:rPr>
              <w:t>department name</w:t>
            </w:r>
          </w:p>
        </w:tc>
      </w:tr>
      <w:tr>
        <w:tc>
          <w:tcPr>
            <w:tcW w:type="dxa" w:w="2948"/>
          </w:tcPr>
          <w:p>
            <w:r/>
            <w:r>
              <w:rPr>
                <w:rFonts w:ascii="Consolas" w:hAnsi="Consolas" w:eastAsia="Consolas"/>
                <w:sz w:val="19"/>
              </w:rPr>
              <w:t>dept_capital</w:t>
            </w:r>
          </w:p>
        </w:tc>
        <w:tc>
          <w:tcPr>
            <w:tcW w:type="dxa" w:w="1587"/>
          </w:tcPr>
          <w:p>
            <w:r/>
            <w:r>
              <w:rPr>
                <w:sz w:val="19"/>
              </w:rPr>
              <w:t>Dc</w:t>
            </w:r>
          </w:p>
        </w:tc>
        <w:tc>
          <w:tcPr>
            <w:tcW w:type="dxa" w:w="4706"/>
          </w:tcPr>
          <w:p>
            <w:r/>
            <w:r>
              <w:rPr>
                <w:sz w:val="19"/>
              </w:rPr>
              <w:t>1 if the department capital</w:t>
            </w:r>
          </w:p>
        </w:tc>
      </w:tr>
    </w:tbl>
    <w:p>
      <w:pPr>
        <w:spacing w:after="40"/>
      </w:pPr>
    </w:p>
    <w:p>
      <w:pPr>
        <w:pStyle w:val="Heading2"/>
      </w:pPr>
      <w:r>
        <w:t>The local state in 1995</w:t>
      </w:r>
    </w:p>
    <w:tbl>
      <w:tblPr>
        <w:tblStyle w:val="TableGrid"/>
        <w:tblW w:type="auto" w:w="0"/>
        <w:tblLayout w:type="fixed"/>
        <w:tblLook w:firstColumn="1" w:firstRow="1" w:lastColumn="0" w:lastRow="0" w:noHBand="0" w:noVBand="1" w:val="04A0"/>
      </w:tblPr>
      <w:tblGrid>
        <w:gridCol w:w="3249"/>
        <w:gridCol w:w="3249"/>
        <w:gridCol w:w="3249"/>
      </w:tblGrid>
      <w:tr>
        <w:tc>
          <w:tcPr>
            <w:tcW w:type="dxa" w:w="2948"/>
            <w:shd w:val="clear" w:color="auto" w:fill="EAF3F4"/>
          </w:tcPr>
          <w:p>
            <w:r/>
            <w:r>
              <w:rPr>
                <w:b/>
                <w:sz w:val="19"/>
              </w:rPr>
              <w:t>Column</w:t>
            </w:r>
          </w:p>
        </w:tc>
        <w:tc>
          <w:tcPr>
            <w:tcW w:type="dxa" w:w="1587"/>
            <w:shd w:val="clear" w:color="auto" w:fill="EAF3F4"/>
          </w:tcPr>
          <w:p>
            <w:r/>
            <w:r>
              <w:rPr>
                <w:b/>
                <w:sz w:val="19"/>
              </w:rPr>
              <w:t>Study source</w:t>
            </w:r>
          </w:p>
        </w:tc>
        <w:tc>
          <w:tcPr>
            <w:tcW w:type="dxa" w:w="4706"/>
            <w:shd w:val="clear" w:color="auto" w:fill="EAF3F4"/>
          </w:tcPr>
          <w:p>
            <w:r/>
            <w:r>
              <w:rPr>
                <w:b/>
                <w:sz w:val="19"/>
              </w:rPr>
              <w:t>Meaning</w:t>
            </w:r>
          </w:p>
        </w:tc>
      </w:tr>
      <w:tr>
        <w:tc>
          <w:tcPr>
            <w:tcW w:type="dxa" w:w="2948"/>
          </w:tcPr>
          <w:p>
            <w:r/>
            <w:r>
              <w:rPr>
                <w:rFonts w:ascii="Consolas" w:hAnsi="Consolas" w:eastAsia="Consolas"/>
                <w:sz w:val="19"/>
              </w:rPr>
              <w:t>notary_offices, telecom_offices, post_offices, health_centers, health_posts, schools, libraries, fire_stations, jails, public_instrument_offices, tax_offices</w:t>
            </w:r>
          </w:p>
        </w:tc>
        <w:tc>
          <w:tcPr>
            <w:tcW w:type="dxa" w:w="1587"/>
          </w:tcPr>
          <w:p>
            <w:r/>
            <w:r>
              <w:rPr>
                <w:sz w:val="19"/>
              </w:rPr>
              <w:t>S cols 6, 7, 8, 11, 12, 13, 14, 15, 16, 18, 19</w:t>
            </w:r>
          </w:p>
        </w:tc>
        <w:tc>
          <w:tcPr>
            <w:tcW w:type="dxa" w:w="4706"/>
          </w:tcPr>
          <w:p>
            <w:r/>
            <w:r>
              <w:rPr>
                <w:sz w:val="19"/>
              </w:rPr>
              <w:t>the eleven locally run agency types, counted in 1995. The agency count is their plain sum; a municipality missing any one of them drops out, as in the study</w:t>
            </w:r>
          </w:p>
        </w:tc>
      </w:tr>
      <w:tr>
        <w:tc>
          <w:tcPr>
            <w:tcW w:type="dxa" w:w="2948"/>
          </w:tcPr>
          <w:p>
            <w:r/>
            <w:r>
              <w:rPr>
                <w:rFonts w:ascii="Consolas" w:hAnsi="Consolas" w:eastAsia="Consolas"/>
                <w:sz w:val="19"/>
              </w:rPr>
              <w:t>municipal_employees</w:t>
            </w:r>
          </w:p>
        </w:tc>
        <w:tc>
          <w:tcPr>
            <w:tcW w:type="dxa" w:w="1587"/>
          </w:tcPr>
          <w:p>
            <w:r/>
            <w:r>
              <w:rPr>
                <w:sz w:val="19"/>
              </w:rPr>
              <w:t>S col 1</w:t>
            </w:r>
          </w:p>
        </w:tc>
        <w:tc>
          <w:tcPr>
            <w:tcW w:type="dxa" w:w="4706"/>
          </w:tcPr>
          <w:p>
            <w:r/>
            <w:r>
              <w:rPr>
                <w:sz w:val="19"/>
              </w:rPr>
              <w:t>municipality public employees</w:t>
            </w:r>
          </w:p>
        </w:tc>
      </w:tr>
    </w:tbl>
    <w:p>
      <w:pPr>
        <w:spacing w:after="40"/>
      </w:pPr>
    </w:p>
    <w:p>
      <w:pPr>
        <w:pStyle w:val="Heading2"/>
      </w:pPr>
      <w:r>
        <w:t>Living standards</w:t>
      </w:r>
    </w:p>
    <w:tbl>
      <w:tblPr>
        <w:tblStyle w:val="TableGrid"/>
        <w:tblW w:type="auto" w:w="0"/>
        <w:tblLayout w:type="fixed"/>
        <w:tblLook w:firstColumn="1" w:firstRow="1" w:lastColumn="0" w:lastRow="0" w:noHBand="0" w:noVBand="1" w:val="04A0"/>
      </w:tblPr>
      <w:tblGrid>
        <w:gridCol w:w="3249"/>
        <w:gridCol w:w="3249"/>
        <w:gridCol w:w="3249"/>
      </w:tblGrid>
      <w:tr>
        <w:tc>
          <w:tcPr>
            <w:tcW w:type="dxa" w:w="2948"/>
            <w:shd w:val="clear" w:color="auto" w:fill="EAF3F4"/>
          </w:tcPr>
          <w:p>
            <w:r/>
            <w:r>
              <w:rPr>
                <w:b/>
                <w:sz w:val="19"/>
              </w:rPr>
              <w:t>Column</w:t>
            </w:r>
          </w:p>
        </w:tc>
        <w:tc>
          <w:tcPr>
            <w:tcW w:type="dxa" w:w="1587"/>
            <w:shd w:val="clear" w:color="auto" w:fill="EAF3F4"/>
          </w:tcPr>
          <w:p>
            <w:r/>
            <w:r>
              <w:rPr>
                <w:b/>
                <w:sz w:val="19"/>
              </w:rPr>
              <w:t>Study source</w:t>
            </w:r>
          </w:p>
        </w:tc>
        <w:tc>
          <w:tcPr>
            <w:tcW w:type="dxa" w:w="4706"/>
            <w:shd w:val="clear" w:color="auto" w:fill="EAF3F4"/>
          </w:tcPr>
          <w:p>
            <w:r/>
            <w:r>
              <w:rPr>
                <w:b/>
                <w:sz w:val="19"/>
              </w:rPr>
              <w:t>Meaning and units</w:t>
            </w:r>
          </w:p>
        </w:tc>
      </w:tr>
      <w:tr>
        <w:tc>
          <w:tcPr>
            <w:tcW w:type="dxa" w:w="2948"/>
          </w:tcPr>
          <w:p>
            <w:r/>
            <w:r>
              <w:rPr>
                <w:rFonts w:ascii="Consolas" w:hAnsi="Consolas" w:eastAsia="Consolas"/>
                <w:sz w:val="19"/>
              </w:rPr>
              <w:t>not_poor_2005, not_poor_1993</w:t>
            </w:r>
          </w:p>
        </w:tc>
        <w:tc>
          <w:tcPr>
            <w:tcW w:type="dxa" w:w="1587"/>
          </w:tcPr>
          <w:p>
            <w:r/>
            <w:r>
              <w:rPr>
                <w:sz w:val="19"/>
              </w:rPr>
              <w:t>Yg cols 9, 8</w:t>
            </w:r>
          </w:p>
        </w:tc>
        <w:tc>
          <w:tcPr>
            <w:tcW w:type="dxa" w:w="4706"/>
          </w:tcPr>
          <w:p>
            <w:r/>
            <w:r>
              <w:rPr>
                <w:sz w:val="19"/>
              </w:rPr>
              <w:t>share of people above the poverty line, in percent</w:t>
            </w:r>
          </w:p>
        </w:tc>
      </w:tr>
      <w:tr>
        <w:tc>
          <w:tcPr>
            <w:tcW w:type="dxa" w:w="2948"/>
          </w:tcPr>
          <w:p>
            <w:r/>
            <w:r>
              <w:rPr>
                <w:rFonts w:ascii="Consolas" w:hAnsi="Consolas" w:eastAsia="Consolas"/>
                <w:sz w:val="19"/>
              </w:rPr>
              <w:t>vaccination_coverage</w:t>
            </w:r>
          </w:p>
        </w:tc>
        <w:tc>
          <w:tcPr>
            <w:tcW w:type="dxa" w:w="1587"/>
          </w:tcPr>
          <w:p>
            <w:r/>
            <w:r>
              <w:rPr>
                <w:sz w:val="19"/>
              </w:rPr>
              <w:t>Yg col 7</w:t>
            </w:r>
          </w:p>
        </w:tc>
        <w:tc>
          <w:tcPr>
            <w:tcW w:type="dxa" w:w="4706"/>
          </w:tcPr>
          <w:p>
            <w:r/>
            <w:r>
              <w:rPr>
                <w:sz w:val="19"/>
              </w:rPr>
              <w:t>vaccination coverage in 2002, a share (multiply by 100 for percent); run nationally</w:t>
            </w:r>
          </w:p>
        </w:tc>
      </w:tr>
      <w:tr>
        <w:tc>
          <w:tcPr>
            <w:tcW w:type="dxa" w:w="2948"/>
          </w:tcPr>
          <w:p>
            <w:r/>
            <w:r>
              <w:rPr>
                <w:rFonts w:ascii="Consolas" w:hAnsi="Consolas" w:eastAsia="Consolas"/>
                <w:sz w:val="19"/>
              </w:rPr>
              <w:t>primary_enrollment, secondary_enrollment</w:t>
            </w:r>
          </w:p>
        </w:tc>
        <w:tc>
          <w:tcPr>
            <w:tcW w:type="dxa" w:w="1587"/>
          </w:tcPr>
          <w:p>
            <w:r/>
            <w:r>
              <w:rPr>
                <w:sz w:val="19"/>
              </w:rPr>
              <w:t>Yg cols 1, 2</w:t>
            </w:r>
          </w:p>
        </w:tc>
        <w:tc>
          <w:tcPr>
            <w:tcW w:type="dxa" w:w="4706"/>
          </w:tcPr>
          <w:p>
            <w:r/>
            <w:r>
              <w:rPr>
                <w:sz w:val="19"/>
              </w:rPr>
              <w:t>enrollment rates 1992–2002, shares (primary can exceed 1)</w:t>
            </w:r>
          </w:p>
        </w:tc>
      </w:tr>
      <w:tr>
        <w:tc>
          <w:tcPr>
            <w:tcW w:type="dxa" w:w="2948"/>
          </w:tcPr>
          <w:p>
            <w:r/>
            <w:r>
              <w:rPr>
                <w:rFonts w:ascii="Consolas" w:hAnsi="Consolas" w:eastAsia="Consolas"/>
                <w:sz w:val="19"/>
              </w:rPr>
              <w:t>aqueduct_coverage, sewage_coverage, electricity_coverage</w:t>
            </w:r>
          </w:p>
        </w:tc>
        <w:tc>
          <w:tcPr>
            <w:tcW w:type="dxa" w:w="1587"/>
          </w:tcPr>
          <w:p>
            <w:r/>
            <w:r>
              <w:rPr>
                <w:sz w:val="19"/>
              </w:rPr>
              <w:t>Yg cols 4, 5, 6</w:t>
            </w:r>
          </w:p>
        </w:tc>
        <w:tc>
          <w:tcPr>
            <w:tcW w:type="dxa" w:w="4706"/>
          </w:tcPr>
          <w:p>
            <w:r/>
            <w:r>
              <w:rPr>
                <w:sz w:val="19"/>
              </w:rPr>
              <w:t>coverage in 2002, in percent</w:t>
            </w:r>
          </w:p>
        </w:tc>
      </w:tr>
      <w:tr>
        <w:tc>
          <w:tcPr>
            <w:tcW w:type="dxa" w:w="2948"/>
          </w:tcPr>
          <w:p>
            <w:r/>
            <w:r>
              <w:rPr>
                <w:rFonts w:ascii="Consolas" w:hAnsi="Consolas" w:eastAsia="Consolas"/>
                <w:sz w:val="19"/>
              </w:rPr>
              <w:t>life_quality_index</w:t>
            </w:r>
          </w:p>
        </w:tc>
        <w:tc>
          <w:tcPr>
            <w:tcW w:type="dxa" w:w="1587"/>
          </w:tcPr>
          <w:p>
            <w:r/>
            <w:r>
              <w:rPr>
                <w:sz w:val="19"/>
              </w:rPr>
              <w:t>Yg col 10</w:t>
            </w:r>
          </w:p>
        </w:tc>
        <w:tc>
          <w:tcPr>
            <w:tcW w:type="dxa" w:w="4706"/>
          </w:tcPr>
          <w:p>
            <w:r/>
            <w:r>
              <w:rPr>
                <w:sz w:val="19"/>
              </w:rPr>
              <w:t>life-quality index, 2004</w:t>
            </w:r>
          </w:p>
        </w:tc>
      </w:tr>
      <w:tr>
        <w:tc>
          <w:tcPr>
            <w:tcW w:type="dxa" w:w="2948"/>
          </w:tcPr>
          <w:p>
            <w:r/>
            <w:r>
              <w:rPr>
                <w:rFonts w:ascii="Consolas" w:hAnsi="Consolas" w:eastAsia="Consolas"/>
                <w:sz w:val="19"/>
              </w:rPr>
              <w:t>infant_mortality</w:t>
            </w:r>
          </w:p>
        </w:tc>
        <w:tc>
          <w:tcPr>
            <w:tcW w:type="dxa" w:w="1587"/>
          </w:tcPr>
          <w:p>
            <w:r/>
            <w:r>
              <w:rPr>
                <w:sz w:val="19"/>
              </w:rPr>
              <w:t>Yg col 3</w:t>
            </w:r>
          </w:p>
        </w:tc>
        <w:tc>
          <w:tcPr>
            <w:tcW w:type="dxa" w:w="4706"/>
          </w:tcPr>
          <w:p>
            <w:r/>
            <w:r>
              <w:rPr>
                <w:sz w:val="19"/>
              </w:rPr>
              <w:t>infant mortality rate</w:t>
            </w:r>
          </w:p>
        </w:tc>
      </w:tr>
      <w:tr>
        <w:tc>
          <w:tcPr>
            <w:tcW w:type="dxa" w:w="2948"/>
          </w:tcPr>
          <w:p>
            <w:r/>
            <w:r>
              <w:rPr>
                <w:rFonts w:ascii="Consolas" w:hAnsi="Consolas" w:eastAsia="Consolas"/>
                <w:sz w:val="19"/>
              </w:rPr>
              <w:t>tax_per_capita_2002</w:t>
            </w:r>
          </w:p>
        </w:tc>
        <w:tc>
          <w:tcPr>
            <w:tcW w:type="dxa" w:w="1587"/>
          </w:tcPr>
          <w:p>
            <w:r/>
            <w:r>
              <w:rPr>
                <w:sz w:val="19"/>
              </w:rPr>
              <w:t>Yg col 15</w:t>
            </w:r>
          </w:p>
        </w:tc>
        <w:tc>
          <w:tcPr>
            <w:tcW w:type="dxa" w:w="4706"/>
          </w:tcPr>
          <w:p>
            <w:r/>
            <w:r>
              <w:rPr>
                <w:sz w:val="19"/>
              </w:rPr>
              <w:t>per-capita tax collection, 2002</w:t>
            </w:r>
          </w:p>
        </w:tc>
      </w:tr>
    </w:tbl>
    <w:p>
      <w:pPr>
        <w:spacing w:after="40"/>
      </w:pPr>
    </w:p>
    <w:p>
      <w:pPr>
        <w:pStyle w:val="Heading2"/>
      </w:pPr>
      <w:r>
        <w:t>The old map (colonial state) and the 1918 placebos</w:t>
      </w:r>
    </w:p>
    <w:tbl>
      <w:tblPr>
        <w:tblStyle w:val="TableGrid"/>
        <w:tblW w:type="auto" w:w="0"/>
        <w:tblLayout w:type="fixed"/>
        <w:tblLook w:firstColumn="1" w:firstRow="1" w:lastColumn="0" w:lastRow="0" w:noHBand="0" w:noVBand="1" w:val="04A0"/>
      </w:tblPr>
      <w:tblGrid>
        <w:gridCol w:w="3249"/>
        <w:gridCol w:w="3249"/>
        <w:gridCol w:w="3249"/>
      </w:tblGrid>
      <w:tr>
        <w:tc>
          <w:tcPr>
            <w:tcW w:type="dxa" w:w="2948"/>
            <w:shd w:val="clear" w:color="auto" w:fill="EAF3F4"/>
          </w:tcPr>
          <w:p>
            <w:r/>
            <w:r>
              <w:rPr>
                <w:b/>
                <w:sz w:val="19"/>
              </w:rPr>
              <w:t>Column</w:t>
            </w:r>
          </w:p>
        </w:tc>
        <w:tc>
          <w:tcPr>
            <w:tcW w:type="dxa" w:w="1587"/>
            <w:shd w:val="clear" w:color="auto" w:fill="EAF3F4"/>
          </w:tcPr>
          <w:p>
            <w:r/>
            <w:r>
              <w:rPr>
                <w:b/>
                <w:sz w:val="19"/>
              </w:rPr>
              <w:t>Study source</w:t>
            </w:r>
          </w:p>
        </w:tc>
        <w:tc>
          <w:tcPr>
            <w:tcW w:type="dxa" w:w="4706"/>
            <w:shd w:val="clear" w:color="auto" w:fill="EAF3F4"/>
          </w:tcPr>
          <w:p>
            <w:r/>
            <w:r>
              <w:rPr>
                <w:b/>
                <w:sz w:val="19"/>
              </w:rPr>
              <w:t>Meaning</w:t>
            </w:r>
          </w:p>
        </w:tc>
      </w:tr>
      <w:tr>
        <w:tc>
          <w:tcPr>
            <w:tcW w:type="dxa" w:w="2948"/>
          </w:tcPr>
          <w:p>
            <w:r/>
            <w:r>
              <w:rPr>
                <w:rFonts w:ascii="Consolas" w:hAnsi="Consolas" w:eastAsia="Consolas"/>
                <w:sz w:val="19"/>
              </w:rPr>
              <w:t>crown_employees_1794</w:t>
            </w:r>
          </w:p>
        </w:tc>
        <w:tc>
          <w:tcPr>
            <w:tcW w:type="dxa" w:w="1587"/>
          </w:tcPr>
          <w:p>
            <w:r/>
            <w:r>
              <w:rPr>
                <w:sz w:val="19"/>
              </w:rPr>
              <w:t>C col 1</w:t>
            </w:r>
          </w:p>
        </w:tc>
        <w:tc>
          <w:tcPr>
            <w:tcW w:type="dxa" w:w="4706"/>
          </w:tcPr>
          <w:p>
            <w:r/>
            <w:r>
              <w:rPr>
                <w:sz w:val="19"/>
              </w:rPr>
              <w:t>crown employees in the 1794 register (865 zeros; Bogotá in the thousands)</w:t>
            </w:r>
          </w:p>
        </w:tc>
      </w:tr>
      <w:tr>
        <w:tc>
          <w:tcPr>
            <w:tcW w:type="dxa" w:w="2948"/>
          </w:tcPr>
          <w:p>
            <w:r/>
            <w:r>
              <w:rPr>
                <w:rFonts w:ascii="Consolas" w:hAnsi="Consolas" w:eastAsia="Consolas"/>
                <w:sz w:val="19"/>
              </w:rPr>
              <w:t>crown_employees_nonmilitary_1794</w:t>
            </w:r>
          </w:p>
        </w:tc>
        <w:tc>
          <w:tcPr>
            <w:tcW w:type="dxa" w:w="1587"/>
          </w:tcPr>
          <w:p>
            <w:r/>
            <w:r>
              <w:rPr>
                <w:sz w:val="19"/>
              </w:rPr>
              <w:t>C col 2</w:t>
            </w:r>
          </w:p>
        </w:tc>
        <w:tc>
          <w:tcPr>
            <w:tcW w:type="dxa" w:w="4706"/>
          </w:tcPr>
          <w:p>
            <w:r/>
            <w:r>
              <w:rPr>
                <w:sz w:val="19"/>
              </w:rPr>
              <w:t>non-military crown employees, 1794</w:t>
            </w:r>
          </w:p>
        </w:tc>
      </w:tr>
      <w:tr>
        <w:tc>
          <w:tcPr>
            <w:tcW w:type="dxa" w:w="2948"/>
          </w:tcPr>
          <w:p>
            <w:r/>
            <w:r>
              <w:rPr>
                <w:rFonts w:ascii="Consolas" w:hAnsi="Consolas" w:eastAsia="Consolas"/>
                <w:sz w:val="19"/>
              </w:rPr>
              <w:t>colonial_state_index</w:t>
            </w:r>
          </w:p>
        </w:tc>
        <w:tc>
          <w:tcPr>
            <w:tcW w:type="dxa" w:w="1587"/>
          </w:tcPr>
          <w:p>
            <w:r/>
            <w:r>
              <w:rPr>
                <w:sz w:val="19"/>
              </w:rPr>
              <w:t>C col 3</w:t>
            </w:r>
          </w:p>
        </w:tc>
        <w:tc>
          <w:tcPr>
            <w:tcW w:type="dxa" w:w="4706"/>
          </w:tcPr>
          <w:p>
            <w:r/>
            <w:r>
              <w:rPr>
                <w:sz w:val="19"/>
              </w:rPr>
              <w:t>the study’s colonial state presence index</w:t>
            </w:r>
          </w:p>
        </w:tc>
      </w:tr>
      <w:tr>
        <w:tc>
          <w:tcPr>
            <w:tcW w:type="dxa" w:w="2948"/>
          </w:tcPr>
          <w:p>
            <w:r/>
            <w:r>
              <w:rPr>
                <w:rFonts w:ascii="Consolas" w:hAnsi="Consolas" w:eastAsia="Consolas"/>
                <w:sz w:val="19"/>
              </w:rPr>
              <w:t>colonial_city</w:t>
            </w:r>
          </w:p>
        </w:tc>
        <w:tc>
          <w:tcPr>
            <w:tcW w:type="dxa" w:w="1587"/>
          </w:tcPr>
          <w:p>
            <w:r/>
            <w:r>
              <w:rPr>
                <w:sz w:val="19"/>
              </w:rPr>
              <w:t>C col 4</w:t>
            </w:r>
          </w:p>
        </w:tc>
        <w:tc>
          <w:tcPr>
            <w:tcW w:type="dxa" w:w="4706"/>
          </w:tcPr>
          <w:p>
            <w:r/>
            <w:r>
              <w:rPr>
                <w:sz w:val="19"/>
              </w:rPr>
              <w:t>1 if the town held city status under the crown</w:t>
            </w:r>
          </w:p>
        </w:tc>
      </w:tr>
      <w:tr>
        <w:tc>
          <w:tcPr>
            <w:tcW w:type="dxa" w:w="2948"/>
          </w:tcPr>
          <w:p>
            <w:r/>
            <w:r>
              <w:rPr>
                <w:rFonts w:ascii="Consolas" w:hAnsi="Consolas" w:eastAsia="Consolas"/>
                <w:sz w:val="19"/>
              </w:rPr>
              <w:t>royal_road_distance</w:t>
            </w:r>
          </w:p>
        </w:tc>
        <w:tc>
          <w:tcPr>
            <w:tcW w:type="dxa" w:w="1587"/>
          </w:tcPr>
          <w:p>
            <w:r/>
            <w:r>
              <w:rPr>
                <w:sz w:val="19"/>
              </w:rPr>
              <w:t>R</w:t>
            </w:r>
          </w:p>
        </w:tc>
        <w:tc>
          <w:tcPr>
            <w:tcW w:type="dxa" w:w="4706"/>
          </w:tcPr>
          <w:p>
            <w:r/>
            <w:r>
              <w:rPr>
                <w:sz w:val="19"/>
              </w:rPr>
              <w:t>distance to the royal roads</w:t>
            </w:r>
          </w:p>
        </w:tc>
      </w:tr>
      <w:tr>
        <w:tc>
          <w:tcPr>
            <w:tcW w:type="dxa" w:w="2948"/>
          </w:tcPr>
          <w:p>
            <w:r/>
            <w:r>
              <w:rPr>
                <w:rFonts w:ascii="Consolas" w:hAnsi="Consolas" w:eastAsia="Consolas"/>
                <w:sz w:val="19"/>
              </w:rPr>
              <w:t>literacy_1918, schooling_1918, vaccination_1918</w:t>
            </w:r>
          </w:p>
        </w:tc>
        <w:tc>
          <w:tcPr>
            <w:tcW w:type="dxa" w:w="1587"/>
          </w:tcPr>
          <w:p>
            <w:r/>
            <w:r>
              <w:rPr>
                <w:sz w:val="19"/>
              </w:rPr>
              <w:t>YH cols 1, 2, 3</w:t>
            </w:r>
          </w:p>
        </w:tc>
        <w:tc>
          <w:tcPr>
            <w:tcW w:type="dxa" w:w="4706"/>
          </w:tcPr>
          <w:p>
            <w:r/>
            <w:r>
              <w:rPr>
                <w:sz w:val="19"/>
              </w:rPr>
              <w:t>outcomes in 1918, used as placebos</w:t>
            </w:r>
          </w:p>
        </w:tc>
      </w:tr>
    </w:tbl>
    <w:p>
      <w:pPr>
        <w:spacing w:after="40"/>
      </w:pPr>
    </w:p>
    <w:p>
      <w:pPr>
        <w:pStyle w:val="Heading2"/>
      </w:pPr>
      <w:r>
        <w:t>Controls the study holds fixed</w:t>
      </w:r>
    </w:p>
    <w:tbl>
      <w:tblPr>
        <w:tblStyle w:val="TableGrid"/>
        <w:tblW w:type="auto" w:w="0"/>
        <w:tblLayout w:type="fixed"/>
        <w:tblLook w:firstColumn="1" w:firstRow="1" w:lastColumn="0" w:lastRow="0" w:noHBand="0" w:noVBand="1" w:val="04A0"/>
      </w:tblPr>
      <w:tblGrid>
        <w:gridCol w:w="3249"/>
        <w:gridCol w:w="3249"/>
        <w:gridCol w:w="3249"/>
      </w:tblGrid>
      <w:tr>
        <w:tc>
          <w:tcPr>
            <w:tcW w:type="dxa" w:w="2948"/>
            <w:shd w:val="clear" w:color="auto" w:fill="EAF3F4"/>
          </w:tcPr>
          <w:p>
            <w:r/>
            <w:r>
              <w:rPr>
                <w:b/>
                <w:sz w:val="19"/>
              </w:rPr>
              <w:t>Column</w:t>
            </w:r>
          </w:p>
        </w:tc>
        <w:tc>
          <w:tcPr>
            <w:tcW w:type="dxa" w:w="1587"/>
            <w:shd w:val="clear" w:color="auto" w:fill="EAF3F4"/>
          </w:tcPr>
          <w:p>
            <w:r/>
            <w:r>
              <w:rPr>
                <w:b/>
                <w:sz w:val="19"/>
              </w:rPr>
              <w:t>Study source</w:t>
            </w:r>
          </w:p>
        </w:tc>
        <w:tc>
          <w:tcPr>
            <w:tcW w:type="dxa" w:w="4706"/>
            <w:shd w:val="clear" w:color="auto" w:fill="EAF3F4"/>
          </w:tcPr>
          <w:p>
            <w:r/>
            <w:r>
              <w:rPr>
                <w:b/>
                <w:sz w:val="19"/>
              </w:rPr>
              <w:t>Meaning</w:t>
            </w:r>
          </w:p>
        </w:tc>
      </w:tr>
      <w:tr>
        <w:tc>
          <w:tcPr>
            <w:tcW w:type="dxa" w:w="2948"/>
          </w:tcPr>
          <w:p>
            <w:r/>
            <w:r>
              <w:rPr>
                <w:rFonts w:ascii="Consolas" w:hAnsi="Consolas" w:eastAsia="Consolas"/>
                <w:sz w:val="19"/>
              </w:rPr>
              <w:t>longitude, latitude, area_sqkm, elevation_m, rainfall_mm, distance_coast_km, distance_magdalena_km</w:t>
            </w:r>
          </w:p>
        </w:tc>
        <w:tc>
          <w:tcPr>
            <w:tcW w:type="dxa" w:w="1587"/>
          </w:tcPr>
          <w:p>
            <w:r/>
            <w:r>
              <w:rPr>
                <w:sz w:val="19"/>
              </w:rPr>
              <w:t>G cols 1, 2, 3, 4, 5, 12, 10</w:t>
            </w:r>
          </w:p>
        </w:tc>
        <w:tc>
          <w:tcPr>
            <w:tcW w:type="dxa" w:w="4706"/>
          </w:tcPr>
          <w:p>
            <w:r/>
            <w:r>
              <w:rPr>
                <w:sz w:val="19"/>
              </w:rPr>
              <w:t>geography</w:t>
            </w:r>
          </w:p>
        </w:tc>
      </w:tr>
      <w:tr>
        <w:tc>
          <w:tcPr>
            <w:tcW w:type="dxa" w:w="2948"/>
          </w:tcPr>
          <w:p>
            <w:r/>
            <w:r>
              <w:rPr>
                <w:rFonts w:ascii="Consolas" w:hAnsi="Consolas" w:eastAsia="Consolas"/>
                <w:sz w:val="19"/>
              </w:rPr>
              <w:t>highway_distance_m, population_1995, pop_density_1995, urban_share_1995, malaria_incidence, oil_producer</w:t>
            </w:r>
          </w:p>
        </w:tc>
        <w:tc>
          <w:tcPr>
            <w:tcW w:type="dxa" w:w="1587"/>
          </w:tcPr>
          <w:p>
            <w:r/>
            <w:r>
              <w:rPr>
                <w:sz w:val="19"/>
              </w:rPr>
              <w:t>Xs cols 1, 2, 3, 4, 8, 10</w:t>
            </w:r>
          </w:p>
        </w:tc>
        <w:tc>
          <w:tcPr>
            <w:tcW w:type="dxa" w:w="4706"/>
          </w:tcPr>
          <w:p>
            <w:r/>
            <w:r>
              <w:rPr>
                <w:sz w:val="19"/>
              </w:rPr>
              <w:t>other controls</w:t>
            </w:r>
          </w:p>
        </w:tc>
      </w:tr>
      <w:tr>
        <w:tc>
          <w:tcPr>
            <w:tcW w:type="dxa" w:w="2948"/>
          </w:tcPr>
          <w:p>
            <w:r/>
            <w:r>
              <w:rPr>
                <w:rFonts w:ascii="Consolas" w:hAnsi="Consolas" w:eastAsia="Consolas"/>
                <w:sz w:val="19"/>
              </w:rPr>
              <w:t>land_agri_share, land_mountain_share</w:t>
            </w:r>
          </w:p>
        </w:tc>
        <w:tc>
          <w:tcPr>
            <w:tcW w:type="dxa" w:w="1587"/>
          </w:tcPr>
          <w:p>
            <w:r/>
            <w:r>
              <w:rPr>
                <w:sz w:val="19"/>
              </w:rPr>
              <w:t>L cols 9, 14</w:t>
            </w:r>
          </w:p>
        </w:tc>
        <w:tc>
          <w:tcPr>
            <w:tcW w:type="dxa" w:w="4706"/>
          </w:tcPr>
          <w:p>
            <w:r/>
            <w:r>
              <w:rPr>
                <w:sz w:val="19"/>
              </w:rPr>
              <w:t>land quality and terrain</w:t>
            </w:r>
          </w:p>
        </w:tc>
      </w:tr>
      <w:tr>
        <w:tc>
          <w:tcPr>
            <w:tcW w:type="dxa" w:w="2948"/>
          </w:tcPr>
          <w:p>
            <w:r/>
            <w:r>
              <w:rPr>
                <w:rFonts w:ascii="Consolas" w:hAnsi="Consolas" w:eastAsia="Consolas"/>
                <w:sz w:val="19"/>
              </w:rPr>
              <w:t>slaves_share_1843, encomienda_1560, gold_mine_1560, foundation_year, population_1843</w:t>
            </w:r>
          </w:p>
        </w:tc>
        <w:tc>
          <w:tcPr>
            <w:tcW w:type="dxa" w:w="1587"/>
          </w:tcPr>
          <w:p>
            <w:r/>
            <w:r>
              <w:rPr>
                <w:sz w:val="19"/>
              </w:rPr>
              <w:t>H cols 1, 5, 6, 7, 8</w:t>
            </w:r>
          </w:p>
        </w:tc>
        <w:tc>
          <w:tcPr>
            <w:tcW w:type="dxa" w:w="4706"/>
          </w:tcPr>
          <w:p>
            <w:r/>
            <w:r>
              <w:rPr>
                <w:sz w:val="19"/>
              </w:rPr>
              <w:t>colonial and pre-colonial history</w:t>
            </w:r>
          </w:p>
        </w:tc>
      </w:tr>
    </w:tbl>
    <w:p>
      <w:pPr>
        <w:spacing w:after="40"/>
      </w:pPr>
    </w:p>
    <w:p>
      <w:pPr>
        <w:pStyle w:val="Heading1"/>
      </w:pPr>
      <w:r>
        <w:t>Check values</w:t>
      </w:r>
    </w:p>
    <w:p>
      <w:pPr>
        <w:spacing w:after="120"/>
      </w:pPr>
      <w:r>
        <w:rPr>
          <w:i w:val="0"/>
          <w:sz w:val="20"/>
        </w:rPr>
        <w:t>Use these to confirm each step before moving on. If a number differs, check the step, not the data.</w:t>
      </w:r>
    </w:p>
    <w:tbl>
      <w:tblPr>
        <w:tblStyle w:val="TableGrid"/>
        <w:tblW w:type="auto" w:w="0"/>
        <w:tblLayout w:type="fixed"/>
        <w:tblLook w:firstColumn="1" w:firstRow="1" w:lastColumn="0" w:lastRow="0" w:noHBand="0" w:noVBand="1" w:val="04A0"/>
      </w:tblPr>
      <w:tblGrid>
        <w:gridCol w:w="3249"/>
        <w:gridCol w:w="3249"/>
        <w:gridCol w:w="3249"/>
      </w:tblGrid>
      <w:tr>
        <w:tc>
          <w:tcPr>
            <w:tcW w:type="dxa" w:w="1701"/>
            <w:shd w:val="clear" w:color="auto" w:fill="EAF3F4"/>
          </w:tcPr>
          <w:p>
            <w:r/>
            <w:r>
              <w:rPr>
                <w:b/>
                <w:sz w:val="19"/>
              </w:rPr>
              <w:t>Step</w:t>
            </w:r>
          </w:p>
        </w:tc>
        <w:tc>
          <w:tcPr>
            <w:tcW w:type="dxa" w:w="4139"/>
            <w:shd w:val="clear" w:color="auto" w:fill="EAF3F4"/>
          </w:tcPr>
          <w:p>
            <w:r/>
            <w:r>
              <w:rPr>
                <w:b/>
                <w:sz w:val="19"/>
              </w:rPr>
              <w:t>What to compute</w:t>
            </w:r>
          </w:p>
        </w:tc>
        <w:tc>
          <w:tcPr>
            <w:tcW w:type="dxa" w:w="3402"/>
            <w:shd w:val="clear" w:color="auto" w:fill="EAF3F4"/>
          </w:tcPr>
          <w:p>
            <w:r/>
            <w:r>
              <w:rPr>
                <w:b/>
                <w:sz w:val="19"/>
              </w:rPr>
              <w:t>Check</w:t>
            </w:r>
          </w:p>
        </w:tc>
      </w:tr>
      <w:tr>
        <w:tc>
          <w:tcPr>
            <w:tcW w:type="dxa" w:w="1701"/>
          </w:tcPr>
          <w:p>
            <w:r/>
            <w:r>
              <w:rPr>
                <w:sz w:val="19"/>
              </w:rPr>
              <w:t>Agency count</w:t>
            </w:r>
          </w:p>
        </w:tc>
        <w:tc>
          <w:tcPr>
            <w:tcW w:type="dxa" w:w="4139"/>
          </w:tcPr>
          <w:p>
            <w:r/>
            <w:r>
              <w:rPr>
                <w:sz w:val="19"/>
              </w:rPr>
              <w:t>sum of the eleven agency columns, plain sum (a blank drops the municipality)</w:t>
            </w:r>
          </w:p>
        </w:tc>
        <w:tc>
          <w:tcPr>
            <w:tcW w:type="dxa" w:w="3402"/>
          </w:tcPr>
          <w:p>
            <w:r/>
            <w:r>
              <w:rPr>
                <w:sz w:val="19"/>
              </w:rPr>
              <w:t>976 municipalities remain; mean 21.6; median 10</w:t>
            </w:r>
          </w:p>
        </w:tc>
      </w:tr>
      <w:tr>
        <w:tc>
          <w:tcPr>
            <w:tcW w:type="dxa" w:w="1701"/>
          </w:tcPr>
          <w:p>
            <w:r/>
            <w:r>
              <w:rPr>
                <w:sz w:val="19"/>
              </w:rPr>
              <w:t>Poverty</w:t>
            </w:r>
          </w:p>
        </w:tc>
        <w:tc>
          <w:tcPr>
            <w:tcW w:type="dxa" w:w="4139"/>
          </w:tcPr>
          <w:p>
            <w:r/>
            <w:r>
              <w:rPr>
                <w:sz w:val="19"/>
              </w:rPr>
              <w:t>not_poor_2005</w:t>
            </w:r>
          </w:p>
        </w:tc>
        <w:tc>
          <w:tcPr>
            <w:tcW w:type="dxa" w:w="3402"/>
          </w:tcPr>
          <w:p>
            <w:r/>
            <w:r>
              <w:rPr>
                <w:sz w:val="19"/>
              </w:rPr>
              <w:t>median 57.3; correlation of log(1 + agencies) with not_poor_2005 is 0.40</w:t>
            </w:r>
          </w:p>
        </w:tc>
      </w:tr>
      <w:tr>
        <w:tc>
          <w:tcPr>
            <w:tcW w:type="dxa" w:w="1701"/>
          </w:tcPr>
          <w:p>
            <w:r/>
            <w:r>
              <w:rPr>
                <w:sz w:val="19"/>
              </w:rPr>
              <w:t>Group means</w:t>
            </w:r>
          </w:p>
        </w:tc>
        <w:tc>
          <w:tcPr>
            <w:tcW w:type="dxa" w:w="4139"/>
          </w:tcPr>
          <w:p>
            <w:r/>
            <w:r>
              <w:rPr>
                <w:sz w:val="19"/>
              </w:rPr>
              <w:t>not_poor_2005 by agency group: fewer than 8; 8–9; 10–12; 13–19; 20–39; 40 or more</w:t>
            </w:r>
          </w:p>
        </w:tc>
        <w:tc>
          <w:tcPr>
            <w:tcW w:type="dxa" w:w="3402"/>
          </w:tcPr>
          <w:p>
            <w:r/>
            <w:r>
              <w:rPr>
                <w:sz w:val="19"/>
              </w:rPr>
              <w:t>51.1, 53.6, 55.4, 59.6, 61.6, 71.6</w:t>
            </w:r>
          </w:p>
        </w:tc>
      </w:tr>
      <w:tr>
        <w:tc>
          <w:tcPr>
            <w:tcW w:type="dxa" w:w="1701"/>
          </w:tcPr>
          <w:p>
            <w:r/>
            <w:r>
              <w:rPr>
                <w:sz w:val="19"/>
              </w:rPr>
              <w:t>Vaccination</w:t>
            </w:r>
          </w:p>
        </w:tc>
        <w:tc>
          <w:tcPr>
            <w:tcW w:type="dxa" w:w="4139"/>
          </w:tcPr>
          <w:p>
            <w:r/>
            <w:r>
              <w:rPr>
                <w:sz w:val="19"/>
              </w:rPr>
              <w:t>100 × vaccination_coverage, same groups</w:t>
            </w:r>
          </w:p>
        </w:tc>
        <w:tc>
          <w:tcPr>
            <w:tcW w:type="dxa" w:w="3402"/>
          </w:tcPr>
          <w:p>
            <w:r/>
            <w:r>
              <w:rPr>
                <w:sz w:val="19"/>
              </w:rPr>
              <w:t>41.8, 44.1, 45.6, 47.1, 49.1, 50.8</w:t>
            </w:r>
          </w:p>
        </w:tc>
      </w:tr>
      <w:tr>
        <w:tc>
          <w:tcPr>
            <w:tcW w:type="dxa" w:w="1701"/>
          </w:tcPr>
          <w:p>
            <w:r/>
            <w:r>
              <w:rPr>
                <w:sz w:val="19"/>
              </w:rPr>
              <w:t>The old map</w:t>
            </w:r>
          </w:p>
        </w:tc>
        <w:tc>
          <w:tcPr>
            <w:tcW w:type="dxa" w:w="4139"/>
          </w:tcPr>
          <w:p>
            <w:r/>
            <w:r>
              <w:rPr>
                <w:sz w:val="19"/>
              </w:rPr>
              <w:t>median agency count with five or more crown employees in 1794, and with fewer (a raw contrast; most of the staffed towns are cities)</w:t>
            </w:r>
          </w:p>
        </w:tc>
        <w:tc>
          <w:tcPr>
            <w:tcW w:type="dxa" w:w="3402"/>
          </w:tcPr>
          <w:p>
            <w:r/>
            <w:r>
              <w:rPr>
                <w:sz w:val="19"/>
              </w:rPr>
              <w:t>39 against 10</w:t>
            </w:r>
          </w:p>
        </w:tc>
      </w:tr>
      <w:tr>
        <w:tc>
          <w:tcPr>
            <w:tcW w:type="dxa" w:w="1701"/>
          </w:tcPr>
          <w:p>
            <w:r/>
            <w:r>
              <w:rPr>
                <w:sz w:val="19"/>
              </w:rPr>
              <w:t>The map next door</w:t>
            </w:r>
          </w:p>
        </w:tc>
        <w:tc>
          <w:tcPr>
            <w:tcW w:type="dxa" w:w="4139"/>
          </w:tcPr>
          <w:p>
            <w:r/>
            <w:r>
              <w:rPr>
                <w:sz w:val="19"/>
              </w:rPr>
              <w:t>average crown_employees_1794 over all of each municipality’s neighbors; municipalities with no neighbor that had any crown employee as one group, the rest in thirds by that average</w:t>
            </w:r>
          </w:p>
        </w:tc>
        <w:tc>
          <w:tcPr>
            <w:tcW w:type="dxa" w:w="3402"/>
          </w:tcPr>
          <w:p>
            <w:r/>
            <w:r>
              <w:rPr>
                <w:sz w:val="19"/>
              </w:rPr>
              <w:t>no such neighbor: n = 344, median agencies 10, mean not_poor 56.3; thirds: median agencies 10, 10, 11; mean not_poor 56.1, 54.9, 58.3 (to one decimal, thirds may split ties differently by tool: 55.0 is also right)</w:t>
            </w:r>
          </w:p>
        </w:tc>
      </w:tr>
    </w:tbl>
    <w:p>
      <w:pPr>
        <w:spacing w:after="40"/>
      </w:pPr>
    </w:p>
    <w:p>
      <w:pPr>
        <w:pStyle w:val="Heading1"/>
      </w:pPr>
      <w:r>
        <w:t>If you try an instrumental-variables regression</w:t>
      </w:r>
    </w:p>
    <w:p>
      <w:pPr>
        <w:spacing w:after="120"/>
      </w:pPr>
      <w:r>
        <w:rPr>
          <w:i w:val="0"/>
        </w:rPr>
        <w:t>The pack has what a two-stage least squares needs: own and neighbors’ agency counts, the neighbors’ 1794 presence (average crown_employees_1794, colonial_state_index and royal_road_distance over the neighbors file), and the controls above. This is what you will find, holding own colonial presence and department fixed:</w:t>
      </w:r>
    </w:p>
    <w:tbl>
      <w:tblPr>
        <w:tblStyle w:val="TableGrid"/>
        <w:tblW w:type="auto" w:w="0"/>
        <w:tblLayout w:type="fixed"/>
        <w:tblLook w:firstColumn="1" w:firstRow="1" w:lastColumn="0" w:lastRow="0" w:noHBand="0" w:noVBand="1" w:val="04A0"/>
      </w:tblPr>
      <w:tblGrid>
        <w:gridCol w:w="3249"/>
        <w:gridCol w:w="3249"/>
        <w:gridCol w:w="3249"/>
      </w:tblGrid>
      <w:tr>
        <w:tc>
          <w:tcPr>
            <w:tcW w:type="dxa" w:w="3402"/>
            <w:shd w:val="clear" w:color="auto" w:fill="EAF3F4"/>
          </w:tcPr>
          <w:p>
            <w:r/>
            <w:r>
              <w:rPr>
                <w:b/>
                <w:sz w:val="19"/>
              </w:rPr>
              <w:t>First stage</w:t>
            </w:r>
          </w:p>
        </w:tc>
        <w:tc>
          <w:tcPr>
            <w:tcW w:type="dxa" w:w="2041"/>
            <w:shd w:val="clear" w:color="auto" w:fill="EAF3F4"/>
          </w:tcPr>
          <w:p>
            <w:r/>
            <w:r>
              <w:rPr>
                <w:b/>
                <w:sz w:val="19"/>
              </w:rPr>
              <w:t>F statistic (3 instruments, n = 976)</w:t>
            </w:r>
          </w:p>
        </w:tc>
        <w:tc>
          <w:tcPr>
            <w:tcW w:type="dxa" w:w="3798"/>
            <w:shd w:val="clear" w:color="auto" w:fill="EAF3F4"/>
          </w:tcPr>
          <w:p>
            <w:r/>
            <w:r>
              <w:rPr>
                <w:b/>
                <w:sz w:val="19"/>
              </w:rPr>
              <w:t>Reading</w:t>
            </w:r>
          </w:p>
        </w:tc>
      </w:tr>
      <w:tr>
        <w:tc>
          <w:tcPr>
            <w:tcW w:type="dxa" w:w="3402"/>
          </w:tcPr>
          <w:p>
            <w:r/>
            <w:r>
              <w:rPr>
                <w:sz w:val="19"/>
              </w:rPr>
              <w:t>neighbors’ log agencies on neighbors’ 1794 presence</w:t>
            </w:r>
          </w:p>
        </w:tc>
        <w:tc>
          <w:tcPr>
            <w:tcW w:type="dxa" w:w="2041"/>
          </w:tcPr>
          <w:p>
            <w:r/>
            <w:r>
              <w:rPr>
                <w:sz w:val="19"/>
              </w:rPr>
              <w:t>about 71</w:t>
            </w:r>
          </w:p>
        </w:tc>
        <w:tc>
          <w:tcPr>
            <w:tcW w:type="dxa" w:w="3798"/>
          </w:tcPr>
          <w:p>
            <w:r/>
            <w:r>
              <w:rPr>
                <w:sz w:val="19"/>
              </w:rPr>
              <w:t>strong: the old map next door does predict the state next door today</w:t>
            </w:r>
          </w:p>
        </w:tc>
      </w:tr>
      <w:tr>
        <w:tc>
          <w:tcPr>
            <w:tcW w:type="dxa" w:w="3402"/>
          </w:tcPr>
          <w:p>
            <w:r/>
            <w:r>
              <w:rPr>
                <w:sz w:val="19"/>
              </w:rPr>
              <w:t>own log agencies on neighbors’ 1794 presence</w:t>
            </w:r>
          </w:p>
        </w:tc>
        <w:tc>
          <w:tcPr>
            <w:tcW w:type="dxa" w:w="2041"/>
          </w:tcPr>
          <w:p>
            <w:r/>
            <w:r>
              <w:rPr>
                <w:sz w:val="19"/>
              </w:rPr>
              <w:t>about 3</w:t>
            </w:r>
          </w:p>
        </w:tc>
        <w:tc>
          <w:tcPr>
            <w:tcW w:type="dxa" w:w="3798"/>
          </w:tcPr>
          <w:p>
            <w:r/>
            <w:r>
              <w:rPr>
                <w:sz w:val="19"/>
              </w:rPr>
              <w:t>weak: own and neighbors’ log agencies correlate at only 0.30, so in a single equation the lever reaches own state faintly</w:t>
            </w:r>
          </w:p>
        </w:tc>
      </w:tr>
    </w:tbl>
    <w:p>
      <w:pPr>
        <w:spacing w:after="40"/>
      </w:pPr>
    </w:p>
    <w:p>
      <w:pPr>
        <w:spacing w:after="120"/>
      </w:pPr>
      <w:r>
        <w:rPr>
          <w:i w:val="0"/>
        </w:rPr>
        <w:t>Because the own-state first stage is weak, a plain two-stage estimate of the own effect swings in sign and size with the control set. The study identifies it through a network model in which every municipality’s capacity responds to every neighbor’s at once, estimated as a system. That is why the chapter’s Panel B is taken from the paper’s tables rather than re-estimated here.</w:t>
      </w:r>
    </w:p>
    <w:p>
      <w:pPr>
        <w:pStyle w:val="Heading1"/>
      </w:pPr>
      <w:r>
        <w:t>Loading the files</w:t>
      </w:r>
    </w:p>
    <w:tbl>
      <w:tblPr>
        <w:tblStyle w:val="TableGrid"/>
        <w:tblW w:type="auto" w:w="0"/>
        <w:tblLayout w:type="fixed"/>
        <w:tblLook w:firstColumn="1" w:firstRow="1" w:lastColumn="0" w:lastRow="0" w:noHBand="0" w:noVBand="1" w:val="04A0"/>
      </w:tblPr>
      <w:tblGrid>
        <w:gridCol w:w="4873"/>
        <w:gridCol w:w="4873"/>
      </w:tblGrid>
      <w:tr>
        <w:tc>
          <w:tcPr>
            <w:tcW w:type="dxa" w:w="1417"/>
            <w:shd w:val="clear" w:color="auto" w:fill="EAF3F4"/>
          </w:tcPr>
          <w:p>
            <w:r/>
            <w:r>
              <w:rPr>
                <w:b/>
                <w:sz w:val="19"/>
              </w:rPr>
              <w:t>Tool</w:t>
            </w:r>
          </w:p>
        </w:tc>
        <w:tc>
          <w:tcPr>
            <w:tcW w:type="dxa" w:w="7824"/>
            <w:shd w:val="clear" w:color="auto" w:fill="EAF3F4"/>
          </w:tcPr>
          <w:p>
            <w:r/>
            <w:r>
              <w:rPr>
                <w:b/>
                <w:sz w:val="19"/>
              </w:rPr>
              <w:t>One line</w:t>
            </w:r>
          </w:p>
        </w:tc>
      </w:tr>
      <w:tr>
        <w:tc>
          <w:tcPr>
            <w:tcW w:type="dxa" w:w="1417"/>
          </w:tcPr>
          <w:p>
            <w:r/>
            <w:r>
              <w:rPr>
                <w:sz w:val="19"/>
              </w:rPr>
              <w:t>Stata</w:t>
            </w:r>
          </w:p>
        </w:tc>
        <w:tc>
          <w:tcPr>
            <w:tcW w:type="dxa" w:w="7824"/>
          </w:tcPr>
          <w:p>
            <w:r/>
            <w:r>
              <w:rPr>
                <w:rFonts w:ascii="Consolas" w:hAnsi="Consolas" w:eastAsia="Consolas"/>
                <w:sz w:val="19"/>
              </w:rPr>
              <w:t>import delimited agjr-colombia.csv, clear</w:t>
            </w:r>
          </w:p>
        </w:tc>
      </w:tr>
      <w:tr>
        <w:tc>
          <w:tcPr>
            <w:tcW w:type="dxa" w:w="1417"/>
          </w:tcPr>
          <w:p>
            <w:r/>
            <w:r>
              <w:rPr>
                <w:sz w:val="19"/>
              </w:rPr>
              <w:t>R</w:t>
            </w:r>
          </w:p>
        </w:tc>
        <w:tc>
          <w:tcPr>
            <w:tcW w:type="dxa" w:w="7824"/>
          </w:tcPr>
          <w:p>
            <w:r/>
            <w:r>
              <w:rPr>
                <w:rFonts w:ascii="Consolas" w:hAnsi="Consolas" w:eastAsia="Consolas"/>
                <w:sz w:val="19"/>
              </w:rPr>
              <w:t>d &lt;- read.csv("agjr-colombia.csv")</w:t>
            </w:r>
          </w:p>
        </w:tc>
      </w:tr>
      <w:tr>
        <w:tc>
          <w:tcPr>
            <w:tcW w:type="dxa" w:w="1417"/>
          </w:tcPr>
          <w:p>
            <w:r/>
            <w:r>
              <w:rPr>
                <w:sz w:val="19"/>
              </w:rPr>
              <w:t>Python</w:t>
            </w:r>
          </w:p>
        </w:tc>
        <w:tc>
          <w:tcPr>
            <w:tcW w:type="dxa" w:w="7824"/>
          </w:tcPr>
          <w:p>
            <w:r/>
            <w:r>
              <w:rPr>
                <w:rFonts w:ascii="Consolas" w:hAnsi="Consolas" w:eastAsia="Consolas"/>
                <w:sz w:val="19"/>
              </w:rPr>
              <w:t>import pandas as pd; d = pd.read_csv("agjr-colombia.csv")</w:t>
            </w:r>
          </w:p>
        </w:tc>
      </w:tr>
      <w:tr>
        <w:tc>
          <w:tcPr>
            <w:tcW w:type="dxa" w:w="1417"/>
          </w:tcPr>
          <w:p>
            <w:r/>
            <w:r>
              <w:rPr>
                <w:sz w:val="19"/>
              </w:rPr>
              <w:t>MATLAB</w:t>
            </w:r>
          </w:p>
        </w:tc>
        <w:tc>
          <w:tcPr>
            <w:tcW w:type="dxa" w:w="7824"/>
          </w:tcPr>
          <w:p>
            <w:r/>
            <w:r>
              <w:rPr>
                <w:rFonts w:ascii="Consolas" w:hAnsi="Consolas" w:eastAsia="Consolas"/>
                <w:sz w:val="19"/>
              </w:rPr>
              <w:t>d = readtable("agjr-colombia.csv")</w:t>
            </w:r>
          </w:p>
        </w:tc>
      </w:tr>
    </w:tbl>
    <w:p>
      <w:pPr>
        <w:spacing w:after="40"/>
      </w:pPr>
    </w:p>
    <w:p>
      <w:pPr>
        <w:spacing w:after="120"/>
      </w:pPr>
      <w:r>
        <w:rPr>
          <w:i w:val="0"/>
          <w:sz w:val="20"/>
        </w:rPr>
        <w:t>For the neighbor average: merge agjr-neighbors.csv with the municipality file on neighbor_dane_code (so each row carries the neighbor’s value), then take the mean by dane_code.</w:t>
      </w:r>
    </w:p>
    <w:p>
      <w:pPr>
        <w:spacing w:after="120"/>
      </w:pPr>
      <w:r>
        <w:rPr>
          <w:i/>
          <w:sz w:val="18"/>
        </w:rPr>
        <w:t>Pack built 2026-09-10 from the study’s replication file by a script kept with the book’s figure code. Redistributed for teaching with attribution to the authors.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3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3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